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4"/>
      </w:tblGrid>
      <w:tr w:rsidR="00E156D8" w:rsidRPr="00E156D8" w:rsidTr="00670E13">
        <w:tc>
          <w:tcPr>
            <w:tcW w:w="0" w:type="auto"/>
            <w:shd w:val="clear" w:color="auto" w:fill="EBFAFF"/>
            <w:vAlign w:val="center"/>
            <w:hideMark/>
          </w:tcPr>
          <w:p w:rsidR="00E156D8" w:rsidRPr="00E156D8" w:rsidRDefault="00E156D8" w:rsidP="00670E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56D8" w:rsidRPr="00E156D8" w:rsidTr="00670E13">
        <w:tc>
          <w:tcPr>
            <w:tcW w:w="2969" w:type="dxa"/>
            <w:shd w:val="clear" w:color="auto" w:fill="FFFFFF"/>
            <w:tcMar>
              <w:top w:w="0" w:type="dxa"/>
              <w:left w:w="152" w:type="dxa"/>
              <w:bottom w:w="0" w:type="dxa"/>
              <w:right w:w="152" w:type="dxa"/>
            </w:tcMar>
            <w:hideMark/>
          </w:tcPr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Название </w:t>
            </w:r>
            <w:proofErr w:type="gram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раздела  «</w:t>
            </w:r>
            <w:proofErr w:type="gramEnd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Сведения об организации отдыха и их оздоровлении»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1. Об организации отдыха детей и их оздоровления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1.1 Основные сведения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Полное наименование школы: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Муниципальное автономное общеобразовательное учреждение </w:t>
            </w:r>
            <w:r w:rsidR="00F66FA4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"Керчевская средняя общеобразовательная школа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" 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Сокращенное наименование: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МАОУ</w:t>
            </w:r>
            <w:r w:rsidR="00F66FA4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"Керчевская СОШ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"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Руководитель Организации отдыха: </w:t>
            </w:r>
            <w:proofErr w:type="spellStart"/>
            <w:r w:rsidR="00F66FA4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Цивелев</w:t>
            </w:r>
            <w:proofErr w:type="spellEnd"/>
            <w:r w:rsidR="00F66FA4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Андрей Петрович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Организационно-правовая форма Организации отдыха: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оздоровительный лагерь с дневным пребыванием, лагерь труда и отдыха, сезонный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Тип Организации отдыха: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 лагерь, </w:t>
            </w:r>
            <w:proofErr w:type="gram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организованный  образовательной</w:t>
            </w:r>
            <w:proofErr w:type="gramEnd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организацией.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Адрес (место нахождения) Организации отдыха, ее представительств и филиалов (при наличии</w:t>
            </w:r>
            <w:proofErr w:type="gramStart"/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): </w:t>
            </w:r>
            <w:r w:rsidR="00F66FA4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618616</w:t>
            </w:r>
            <w:proofErr w:type="gramEnd"/>
            <w:r w:rsidR="00F66FA4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Пермский край, Чердынский муниципальный округ п. Керчевский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, ул. </w:t>
            </w:r>
            <w:r w:rsidR="00F66FA4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50 лет Октября, д.36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</w:t>
            </w: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 Режим (сезонный или круглогодичный) и график работы Организации отдыха, ее представительств и филиалов (при наличии):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с 08-30 до 15-00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Летний лагерь – это интересная программа активного отдыха, объединяющая в себе множество различных мероприятий, направленных на повышение здоровья школьника, на самореализацию и на получение положительных эмоций. Основной целью летней оздоровительной кампании является создание благоприятных условий для укрепления здоровья и 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lastRenderedPageBreak/>
              <w:t xml:space="preserve">организации досуга, учащихся во время летних каникул. В соответствии с требованиями отдела </w:t>
            </w:r>
            <w:proofErr w:type="spell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Роспотребнадзора</w:t>
            </w:r>
            <w:proofErr w:type="spellEnd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в лагере соблюдены все санитарно-гигиенические требования к организации летнего и оздоровительного лагеря с дневным пребыванием детей.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1.2 Документы</w:t>
            </w:r>
          </w:p>
          <w:p w:rsidR="00E156D8" w:rsidRPr="00E156D8" w:rsidRDefault="00A11380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="00E156D8" w:rsidRPr="00E156D8">
                <w:rPr>
                  <w:rFonts w:ascii="Times New Roman" w:eastAsia="Times New Roman" w:hAnsi="Times New Roman" w:cs="Times New Roman"/>
                  <w:color w:val="003399"/>
                  <w:sz w:val="30"/>
                  <w:u w:val="single"/>
                  <w:lang w:eastAsia="ru-RU"/>
                </w:rPr>
                <w:t>Учредительные документы Организации отдыха (Устав)</w:t>
              </w:r>
            </w:hyperlink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u w:val="single"/>
                <w:shd w:val="clear" w:color="auto" w:fill="FFFFFF"/>
                <w:lang w:eastAsia="ru-RU"/>
              </w:rPr>
              <w:t>Правила нахождения на территории Организации отдыха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u w:val="single"/>
                <w:shd w:val="clear" w:color="auto" w:fill="FFFFFF"/>
                <w:lang w:eastAsia="ru-RU"/>
              </w:rPr>
              <w:t>Программа воспитательной работы и календарный план воспитательной работы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u w:val="single"/>
                <w:shd w:val="clear" w:color="auto" w:fill="FFFFFF"/>
                <w:lang w:eastAsia="ru-RU"/>
              </w:rPr>
              <w:t>Программа развития организации отдыха</w:t>
            </w:r>
          </w:p>
          <w:p w:rsidR="00E156D8" w:rsidRPr="00E156D8" w:rsidRDefault="00A11380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="00E156D8" w:rsidRPr="00E156D8">
                <w:rPr>
                  <w:rFonts w:ascii="Verdana" w:eastAsia="Times New Roman" w:hAnsi="Verdana" w:cs="Times New Roman"/>
                  <w:color w:val="003399"/>
                  <w:sz w:val="30"/>
                  <w:u w:val="single"/>
                  <w:lang w:eastAsia="ru-RU"/>
                </w:rPr>
                <w:t>П</w:t>
              </w:r>
            </w:hyperlink>
            <w:hyperlink r:id="rId8" w:history="1">
              <w:r w:rsidR="00E156D8" w:rsidRPr="00E156D8">
                <w:rPr>
                  <w:rFonts w:ascii="Verdana" w:eastAsia="Times New Roman" w:hAnsi="Verdana" w:cs="Times New Roman"/>
                  <w:color w:val="003399"/>
                  <w:sz w:val="30"/>
                  <w:u w:val="single"/>
                  <w:lang w:eastAsia="ru-RU"/>
                </w:rPr>
                <w:t>рограмма ЛДП</w:t>
              </w:r>
            </w:hyperlink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1.3 Руководство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Руководитель Организации отдыха: </w:t>
            </w:r>
            <w:r w:rsidR="00F66FA4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Федосеева Елена Викторовна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Заместитель руководителя Организации отдыха: </w:t>
            </w:r>
            <w:r w:rsidR="00F66FA4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Дмитриева Наталья Сергеевна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1.4 Педагогический и вожатский состав</w:t>
            </w:r>
          </w:p>
          <w:p w:rsidR="00E156D8" w:rsidRPr="00E156D8" w:rsidRDefault="00A11380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E156D8" w:rsidRPr="00E156D8">
                <w:rPr>
                  <w:rFonts w:ascii="Times New Roman" w:eastAsia="Times New Roman" w:hAnsi="Times New Roman" w:cs="Times New Roman"/>
                  <w:color w:val="003399"/>
                  <w:sz w:val="30"/>
                  <w:u w:val="single"/>
                  <w:lang w:eastAsia="ru-RU"/>
                </w:rPr>
                <w:t>Состав работников Организации отдыха</w:t>
              </w:r>
            </w:hyperlink>
          </w:p>
          <w:p w:rsidR="00E156D8" w:rsidRPr="00E156D8" w:rsidRDefault="00A11380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E156D8" w:rsidRPr="00E156D8">
                <w:rPr>
                  <w:rFonts w:ascii="Times New Roman" w:eastAsia="Times New Roman" w:hAnsi="Times New Roman" w:cs="Times New Roman"/>
                  <w:color w:val="003399"/>
                  <w:sz w:val="30"/>
                  <w:u w:val="single"/>
                  <w:lang w:eastAsia="ru-RU"/>
                </w:rPr>
                <w:t>Сотрудники, ответственные за организацию работы по обеспечению доступности Организации отдыха детям с ОВЗ и детям-инвалидам, сопровождение и оказание помощи детям с ОВЗ и детям-инвалидам</w:t>
              </w:r>
            </w:hyperlink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1.5 Контакты</w:t>
            </w:r>
          </w:p>
          <w:p w:rsidR="00E156D8" w:rsidRPr="00E156D8" w:rsidRDefault="00F66FA4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Телефон: 8-34240-27105</w:t>
            </w:r>
          </w:p>
          <w:p w:rsidR="00F66FA4" w:rsidRPr="00F66FA4" w:rsidRDefault="00E156D8" w:rsidP="00670E13">
            <w:pPr>
              <w:shd w:val="clear" w:color="auto" w:fill="FFFFFF"/>
              <w:spacing w:line="243" w:lineRule="atLeast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Электронная почта:</w:t>
            </w:r>
            <w:r w:rsidR="00F66FA4">
              <w:rPr>
                <w:rFonts w:ascii="Helvetica" w:hAnsi="Helvetica" w:cs="Helvetica"/>
                <w:color w:val="2C2D2E"/>
                <w:sz w:val="18"/>
                <w:szCs w:val="18"/>
              </w:rPr>
              <w:t xml:space="preserve"> </w:t>
            </w:r>
            <w:r w:rsidR="00F66FA4" w:rsidRPr="00670E13">
              <w:rPr>
                <w:rStyle w:val="40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kerchevososh@mail.ru</w:t>
            </w:r>
          </w:p>
          <w:p w:rsidR="00670E13" w:rsidRPr="00E156D8" w:rsidRDefault="00A11380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F66FA4" w:rsidRPr="00F66FA4">
                <w:rPr>
                  <w:rFonts w:ascii="Helvetica" w:eastAsia="Times New Roman" w:hAnsi="Helvetica" w:cs="Helvetica"/>
                  <w:color w:val="0000FF"/>
                  <w:sz w:val="21"/>
                  <w:szCs w:val="21"/>
                  <w:lang w:eastAsia="ru-RU"/>
                </w:rPr>
                <w:br/>
              </w:r>
            </w:hyperlink>
            <w:r w:rsidR="00E156D8"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</w:t>
            </w:r>
            <w:r w:rsidR="00F66FA4"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="00E156D8"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Адрес</w:t>
            </w:r>
            <w:r w:rsidR="00670E13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: 618616 Пермский край, Чердынский муниципальный округ п. Керчевский</w:t>
            </w:r>
            <w:r w:rsidR="00670E13"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, ул. </w:t>
            </w:r>
            <w:r w:rsidR="00670E13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50 лет Октября, д.36</w:t>
            </w:r>
            <w:r w:rsidR="00670E13"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</w:t>
            </w:r>
            <w:r w:rsidR="00670E13"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 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E156D8" w:rsidRPr="00E156D8" w:rsidRDefault="00E156D8" w:rsidP="00670E13">
            <w:pPr>
              <w:spacing w:before="100" w:beforeAutospacing="1" w:after="12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2. Деятельность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Отдых детей и их оздоровление –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и </w:t>
            </w:r>
            <w:proofErr w:type="gram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спортом,  формирование</w:t>
            </w:r>
            <w:proofErr w:type="gramEnd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156D8">
              <w:rPr>
                <w:rFonts w:ascii="Cambria" w:eastAsia="Times New Roman" w:hAnsi="Cambria" w:cs="Times New Roman"/>
                <w:color w:val="003399"/>
                <w:sz w:val="30"/>
                <w:lang w:eastAsia="ru-RU"/>
              </w:rPr>
              <w:t>2.1. О возрастной категории детей, принимаемых в Организацию отдыха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Пришкольный лагерь открывается на основании приказа по учреждению и комплектуется из обучающихся с 7 до 17 лет, лагерь труда и отдыха с 14 до 17 лет. Зачисление производится на основании заявления родителей (законных представителей). Работа лагеря осуществляется во время каникул (летние). </w:t>
            </w:r>
            <w:proofErr w:type="gram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Летних  смен</w:t>
            </w:r>
            <w:proofErr w:type="gramEnd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лагеря - одна.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2.2 Даты проведения смен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оздоровительный лагерь с дневным </w:t>
            </w:r>
            <w:proofErr w:type="gram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пребыванием  -</w:t>
            </w:r>
            <w:proofErr w:type="gramEnd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02.06.2025 – 23.06.2025 года</w:t>
            </w:r>
          </w:p>
          <w:p w:rsidR="00E156D8" w:rsidRPr="00E156D8" w:rsidRDefault="00A11380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лагерь труда и отдыха - 16.06.2025 – 27</w:t>
            </w:r>
            <w:r w:rsidR="00E156D8"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.06.2025 года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lastRenderedPageBreak/>
              <w:t>3. Материально-техническое обеспечение и оснащенность организации отдыха детей и их оздоровления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3.1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.</w:t>
            </w: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 Об условиях проживания детей в Организации отдыха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Проживание детей не осуществляется, так как Организация отдыха функционирует в форме лагеря с дневным пребыванием на базе образовательной организации.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3.2. Условия питания детей в Организации отдыха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Питание учащихся организовано в столовой.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Меню питания детей на </w:t>
            </w:r>
            <w:proofErr w:type="gram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период  отдыха</w:t>
            </w:r>
            <w:proofErr w:type="gramEnd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и оздоровления, утверждено  и согласовано директором школы.</w:t>
            </w:r>
            <w:r w:rsidR="00670E13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Обеденный зал оборудован на 70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посадочных мест. Имеется достаточное количество комплектов столовой посуды и приборов.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3.3. Материально-техническое обеспечение образовательной и воспитательной деятельности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Рекреация, используется как игровая зона -  1 этаж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Классные комнаты, используемые как игровые помещения - 2 </w:t>
            </w:r>
            <w:proofErr w:type="spell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шт</w:t>
            </w:r>
            <w:proofErr w:type="spellEnd"/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Обеденный зал столовой - 1, 1 </w:t>
            </w:r>
            <w:proofErr w:type="spell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эт</w:t>
            </w:r>
            <w:proofErr w:type="spellEnd"/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Туалеты</w:t>
            </w:r>
            <w:r w:rsidR="00670E13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для девочек и </w:t>
            </w:r>
            <w:proofErr w:type="gramStart"/>
            <w:r w:rsidR="00670E13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мальчиков  -</w:t>
            </w:r>
            <w:proofErr w:type="gramEnd"/>
            <w:r w:rsidR="00670E13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2, 2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этаж.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3.4. Материально-техническое обеспечение территории и объектов Организации отдыха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На территории школы выделены следующие зоны: зона отдыха, физкультурно-спортивная и хозяйственная. Игровая площадка и футбольное поле на территории школы. Спортивные мероприятия будут проводится на свежем воздухе, если погодные условия не будут позволять, то спортивное мероприятие будет заменяться на другое или перенесено в спортивный зал.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4. Услуги, в том числе платные, предоставляемые </w:t>
            </w: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lastRenderedPageBreak/>
              <w:t>организацией отдыха детей и их оздоровления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000"/>
              <w:gridCol w:w="2334"/>
            </w:tblGrid>
            <w:tr w:rsidR="00E156D8" w:rsidRPr="00E156D8" w:rsidTr="00E156D8">
              <w:tc>
                <w:tcPr>
                  <w:tcW w:w="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№</w:t>
                  </w:r>
                </w:p>
              </w:tc>
              <w:tc>
                <w:tcPr>
                  <w:tcW w:w="457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Информация:</w:t>
                  </w:r>
                </w:p>
              </w:tc>
              <w:tc>
                <w:tcPr>
                  <w:tcW w:w="530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156D8" w:rsidRPr="00E156D8" w:rsidTr="00E156D8">
              <w:tc>
                <w:tcPr>
                  <w:tcW w:w="7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4.1.                   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О порядке оказания платных услуг, в том числе образец договора об организации отдыха и оздоровления ребёнка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Платные услуги не предоставляются</w:t>
                  </w:r>
                </w:p>
              </w:tc>
            </w:tr>
            <w:tr w:rsidR="00E156D8" w:rsidRPr="00E156D8" w:rsidTr="00E156D8">
              <w:tc>
                <w:tcPr>
                  <w:tcW w:w="7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4.2.                   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Средняя стоимость 1 дня пребывания в Организации и стоимость путёвки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-</w:t>
                  </w:r>
                </w:p>
              </w:tc>
            </w:tr>
            <w:tr w:rsidR="00E156D8" w:rsidRPr="00E156D8" w:rsidTr="00E156D8">
              <w:tc>
                <w:tcPr>
                  <w:tcW w:w="7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4.3.                   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О возможности  и механизмах компенсации стоимости услуг по организации отдыха и оздоровления детей на территории субъекта Российской Федерации (при наличии)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-</w:t>
                  </w:r>
                </w:p>
              </w:tc>
            </w:tr>
            <w:tr w:rsidR="00E156D8" w:rsidRPr="00E156D8" w:rsidTr="00E156D8">
              <w:tc>
                <w:tcPr>
                  <w:tcW w:w="7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4.4.                   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Информация о разъезде и заезде в Организацию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1B7775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Лагерь «Солнышко</w:t>
                  </w:r>
                  <w:r w:rsidR="00E156D8"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» является лагерем с дневным пребыванием и функционирует на базе Школы</w:t>
                  </w:r>
                </w:p>
              </w:tc>
            </w:tr>
            <w:tr w:rsidR="00E156D8" w:rsidRPr="00E156D8" w:rsidTr="00E156D8">
              <w:tc>
                <w:tcPr>
                  <w:tcW w:w="7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4.5.                   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Перечень документов ребёнка,  необходимых для зачисления в Организацию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1B7775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В лагерь «Солнышко</w:t>
                  </w:r>
                  <w:r w:rsidR="00E156D8"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» принимаются учащихся Школы на основании заявления родителей (законных представителей)</w:t>
                  </w:r>
                </w:p>
              </w:tc>
            </w:tr>
            <w:tr w:rsidR="00E156D8" w:rsidRPr="00E156D8" w:rsidTr="00E156D8">
              <w:tc>
                <w:tcPr>
                  <w:tcW w:w="72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4.6.                   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 xml:space="preserve">Перечень одежды, </w:t>
                  </w: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lastRenderedPageBreak/>
                    <w:t>обуви и гигиенических принадлежностей, необходимых для пребывания ребёнка в Организации</w:t>
                  </w:r>
                </w:p>
              </w:tc>
              <w:tc>
                <w:tcPr>
                  <w:tcW w:w="5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E156D8" w:rsidRPr="00E156D8" w:rsidRDefault="00E156D8" w:rsidP="00A11380">
                  <w:pPr>
                    <w:framePr w:hSpace="180" w:wrap="around" w:vAnchor="text" w:hAnchor="text" w:y="1"/>
                    <w:spacing w:before="100" w:beforeAutospacing="1" w:after="121" w:line="240" w:lineRule="auto"/>
                    <w:suppressOverlap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lastRenderedPageBreak/>
                    <w:t>Обучающиес</w:t>
                  </w:r>
                  <w:r w:rsidR="00A11380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 xml:space="preserve">я </w:t>
                  </w:r>
                  <w:r w:rsidR="00A11380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lastRenderedPageBreak/>
                    <w:t>приходят в лагерь «Солнышко</w:t>
                  </w:r>
                  <w:r w:rsidRPr="00E156D8">
                    <w:rPr>
                      <w:rFonts w:ascii="Times New Roman" w:eastAsia="Times New Roman" w:hAnsi="Times New Roman" w:cs="Times New Roman"/>
                      <w:color w:val="003399"/>
                      <w:sz w:val="30"/>
                      <w:szCs w:val="30"/>
                      <w:lang w:eastAsia="ru-RU"/>
                    </w:rPr>
                    <w:t>» в одежде и обуви в соответствии с погодными условиями. Головной убор (панама, кепи, косынка) необходимо носить при высокой температуре воздуха, преимущественно в летний период. Для участия в спортивных мероприятиях (соревнованиях) необходимо наличие спортивной обуви и одежды, соответствующей условиям проведения мероприятий</w:t>
                  </w:r>
                </w:p>
              </w:tc>
            </w:tr>
          </w:tbl>
          <w:p w:rsidR="00E156D8" w:rsidRPr="00E156D8" w:rsidRDefault="00E156D8" w:rsidP="00670E13">
            <w:pPr>
              <w:spacing w:before="100" w:beforeAutospacing="1" w:after="12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kern w:val="36"/>
                <w:sz w:val="30"/>
                <w:szCs w:val="30"/>
                <w:shd w:val="clear" w:color="auto" w:fill="FFFFFF"/>
                <w:lang w:eastAsia="ru-RU"/>
              </w:rPr>
              <w:lastRenderedPageBreak/>
              <w:t>5. Доступная среда 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5.1 О созданных специальных условиях отдыха и оздоровления детей с ОВЗ и детей инвалидов: 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Администрация Организации стремится создавать комфортные условия для всех детей. Для обесп</w:t>
            </w:r>
            <w:r w:rsidR="00A11380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ечения доступности имеются: панд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ус, дверные проемы более 80 см, кабинет для занятий, туалет.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5.2 О созданных специальных условиях охраны здоровья детей с ОВЗ и детей-инвалидов, в том числе условиях питания: 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lastRenderedPageBreak/>
              <w:t>Организуются плановые медицинские обследования. Обеспечивается безопасность пребывания детей в Организации: имеется противопожарная сигнализация и система оповещения о пожаре, наружное видеонаблюдение, осуществляется пропускной режим. Создание отдельного (диетического) меню для детей-инвалидов и лиц с ОВЗ не практикуется, так как заявлений от родителей (законных представителей) обучающихся о предоставлении диетического питания не поступало. Для организации индивидуального питания детей с ОВЗ и детей-инвалидов родители (законные представители) могут обратиться к администрации лагеря.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5.3 Об условиях для хранения лекарственных препаратов для медицинского применения и специализированных продуктов лечебного питания: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Хранение лекарственных препаратов и специализированных продуктов лечебного питания осуществляется в медицинском кабинете школы. 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5.4 О специально оборудованных помещениях и объектах, приспособленных для детей с ОВЗ и детей-инвалидов, в том числе спортивных объектах: 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В здании на входе имеются надписи, выполненные шрифтом Брайля, предназначенные для информирования слепых и слабовидящих людей.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5.5 О материально-технических средствах обучения и воспитания, соответствующих возможностям и потребностям детей с ОВЗ и детей-инвалидов: 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Кабинет - предназначен для формирования </w:t>
            </w:r>
            <w:proofErr w:type="spellStart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здоровьесберегающей</w:t>
            </w:r>
            <w:proofErr w:type="spellEnd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среды для обучающихся с ОВЗ.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5.6 Об условиях беспрепятственного доступа к водным объектам (при наличии):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Водные объекты отсутствуют.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 xml:space="preserve">5.7 Об организации сопровождения детей с ОВЗ и детей-инвалидов, нуждающихся в таком сопровождении, ассистентом (помощником) по </w:t>
            </w: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lastRenderedPageBreak/>
              <w:t xml:space="preserve">оказанию технической помощи, в том числе передвижения с помощью ассистента (помощника) по оказанию технической </w:t>
            </w:r>
            <w:proofErr w:type="gramStart"/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помощи: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 Не</w:t>
            </w:r>
            <w:proofErr w:type="gramEnd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предусмотрено штатным расписанием Организации. При необходимости инвалиду или лицу с ОВЗ для обеспечения доступа в здание будет предоставлено сопровождающее лицо.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5.8 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Территория Организации адаптируется для удобства всех детей. Детали о доступности конкретных зон можно узнать при оформлении заявления.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5.9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Не предусмотрено. Транспортные средства для перевозки детей-инвалидов отсутствуют.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5.10 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Особые условия доступа к информационным системам и информационно-коммуникационным сетям для детей-инвалидов и лиц с ОВЗ могут быть предоставлены при работе с официальным сайтом Организации (разработан и адаптирован с учетом потребностей слабовидящих людей (версия для слабовидящих)) и с другими сайтами образовательной направленности, на которых существует версия для слабовидящих. На сайте представлена возможность изменять размер шрифта, возможность изменять цветовую схему, возможность отключения отображения изображений через специальную панель для слабовидящих.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 xml:space="preserve">5.11 О размещении оборудования и носителей </w:t>
            </w: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lastRenderedPageBreak/>
              <w:t>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Организация постепенно внедряет элементы без</w:t>
            </w:r>
            <w:r w:rsidR="00A11380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 xml:space="preserve">барьерной среды. Для обеспечения доступности </w:t>
            </w:r>
            <w:bookmarkStart w:id="0" w:name="_GoBack"/>
            <w:bookmarkEnd w:id="0"/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имеются: доступная входная группа, дверные проемы более 80 см. Актуальная информация о доступности объектов уточняется при обращении.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szCs w:val="30"/>
                <w:shd w:val="clear" w:color="auto" w:fill="FFFFFF"/>
                <w:lang w:eastAsia="ru-RU"/>
              </w:rPr>
              <w:t>5.12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При входе имеется табличка с рельефно-точечным шрифтом Брайля.</w:t>
            </w:r>
          </w:p>
          <w:p w:rsidR="00E156D8" w:rsidRPr="00E156D8" w:rsidRDefault="00E156D8" w:rsidP="00670E13">
            <w:pPr>
              <w:spacing w:before="100" w:beforeAutospacing="1" w:after="12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56D8">
              <w:rPr>
                <w:rFonts w:ascii="Times New Roman" w:eastAsia="Times New Roman" w:hAnsi="Times New Roman" w:cs="Times New Roman"/>
                <w:b/>
                <w:bCs/>
                <w:color w:val="003399"/>
                <w:sz w:val="30"/>
                <w:lang w:eastAsia="ru-RU"/>
              </w:rPr>
              <w:t>5.13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населения: </w:t>
            </w:r>
            <w:r w:rsidRPr="00E156D8">
              <w:rPr>
                <w:rFonts w:ascii="Times New Roman" w:eastAsia="Times New Roman" w:hAnsi="Times New Roman" w:cs="Times New Roman"/>
                <w:color w:val="003399"/>
                <w:sz w:val="30"/>
                <w:szCs w:val="30"/>
                <w:shd w:val="clear" w:color="auto" w:fill="FFFFFF"/>
                <w:lang w:eastAsia="ru-RU"/>
              </w:rPr>
              <w:t>Вход с собакой-проводником разрешен при предоставлении соответствующих документов. Условия пребывания животного на территории обсуждаются индивидуально.</w:t>
            </w:r>
          </w:p>
        </w:tc>
      </w:tr>
      <w:tr w:rsidR="00E156D8" w:rsidRPr="00E156D8" w:rsidTr="00670E13">
        <w:trPr>
          <w:trHeight w:val="227"/>
        </w:trPr>
        <w:tc>
          <w:tcPr>
            <w:tcW w:w="0" w:type="auto"/>
            <w:shd w:val="clear" w:color="auto" w:fill="EBFAFF"/>
            <w:vAlign w:val="center"/>
            <w:hideMark/>
          </w:tcPr>
          <w:p w:rsidR="00E156D8" w:rsidRPr="00E156D8" w:rsidRDefault="00670E13" w:rsidP="00670E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</w:p>
        </w:tc>
      </w:tr>
    </w:tbl>
    <w:p w:rsidR="00392FF6" w:rsidRDefault="00670E13">
      <w:r>
        <w:br w:type="textWrapping" w:clear="all"/>
      </w:r>
    </w:p>
    <w:sectPr w:rsidR="00392FF6" w:rsidSect="00670E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5B80"/>
    <w:multiLevelType w:val="multilevel"/>
    <w:tmpl w:val="1F5E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F0348"/>
    <w:multiLevelType w:val="multilevel"/>
    <w:tmpl w:val="0D3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D8"/>
    <w:rsid w:val="001B7775"/>
    <w:rsid w:val="00274179"/>
    <w:rsid w:val="00392FF6"/>
    <w:rsid w:val="00445BD4"/>
    <w:rsid w:val="00670E13"/>
    <w:rsid w:val="006C0191"/>
    <w:rsid w:val="009F57C4"/>
    <w:rsid w:val="00A11380"/>
    <w:rsid w:val="00E156D8"/>
    <w:rsid w:val="00E45695"/>
    <w:rsid w:val="00F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ADA8"/>
  <w15:docId w15:val="{714A880D-5F91-4119-9496-5110BD00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F6"/>
  </w:style>
  <w:style w:type="paragraph" w:styleId="1">
    <w:name w:val="heading 1"/>
    <w:basedOn w:val="a"/>
    <w:link w:val="10"/>
    <w:uiPriority w:val="9"/>
    <w:qFormat/>
    <w:rsid w:val="00E15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5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6F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6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6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56D8"/>
    <w:rPr>
      <w:color w:val="800080"/>
      <w:u w:val="single"/>
    </w:rPr>
  </w:style>
  <w:style w:type="character" w:styleId="a6">
    <w:name w:val="Strong"/>
    <w:basedOn w:val="a0"/>
    <w:uiPriority w:val="22"/>
    <w:qFormat/>
    <w:rsid w:val="00E156D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56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56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56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56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6D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66F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1795">
          <w:marLeft w:val="0"/>
          <w:marRight w:val="0"/>
          <w:marTop w:val="6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8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042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403">
                  <w:marLeft w:val="152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03370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278">
                  <w:marLeft w:val="152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227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537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786">
                      <w:marLeft w:val="0"/>
                      <w:marRight w:val="0"/>
                      <w:marTop w:val="0"/>
                      <w:marBottom w:val="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5732">
                              <w:marLeft w:val="152"/>
                              <w:marRight w:val="1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010186">
                      <w:marLeft w:val="0"/>
                      <w:marRight w:val="0"/>
                      <w:marTop w:val="0"/>
                      <w:marBottom w:val="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0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dyn-sosh.ucoz.org/documents/2025/programma_ldp_cherdyn_202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herdyn-sosh.ucoz.org/documents/2025/programma_ldp_cherdyn_2025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dyn-sosh.ucoz.org/index/ustav_shkoly/0-13" TargetMode="External"/><Relationship Id="rId11" Type="http://schemas.openxmlformats.org/officeDocument/2006/relationships/hyperlink" Target="https://id.vk.com/account?open_page=main&amp;flow_service=ecoplate_ma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erdyn-sosh.ucoz.org/documents/razl/spisok_rabotnikov_ovz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rdyn-sosh.ucoz.org/documents/razl/spisok_rabotniko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77FD-4458-4260-8E8F-DE14FF9A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User</cp:lastModifiedBy>
  <cp:revision>2</cp:revision>
  <dcterms:created xsi:type="dcterms:W3CDTF">2025-05-21T08:09:00Z</dcterms:created>
  <dcterms:modified xsi:type="dcterms:W3CDTF">2025-05-21T08:09:00Z</dcterms:modified>
</cp:coreProperties>
</file>